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EE54" w14:textId="5DC43A6C" w:rsidR="00EE0EDC" w:rsidRPr="00EE0EDC" w:rsidRDefault="00EE0EDC" w:rsidP="00EE0EDC">
      <w:pPr>
        <w:jc w:val="center"/>
        <w:rPr>
          <w:b/>
          <w:bCs/>
          <w:color w:val="C00000"/>
          <w:sz w:val="32"/>
          <w:szCs w:val="32"/>
          <w:lang w:val="en-US"/>
        </w:rPr>
      </w:pPr>
      <w:r w:rsidRPr="00EE0EDC">
        <w:rPr>
          <w:b/>
          <w:bCs/>
          <w:color w:val="C00000"/>
          <w:sz w:val="32"/>
          <w:szCs w:val="32"/>
          <w:lang w:val="en-US"/>
        </w:rPr>
        <w:t>Security and Safety Toolkit for Safer A</w:t>
      </w:r>
      <w:r w:rsidR="00F216F0">
        <w:rPr>
          <w:b/>
          <w:bCs/>
          <w:color w:val="C00000"/>
          <w:sz w:val="32"/>
          <w:szCs w:val="32"/>
          <w:lang w:val="en-US"/>
        </w:rPr>
        <w:t>c</w:t>
      </w:r>
      <w:r w:rsidRPr="00EE0EDC">
        <w:rPr>
          <w:b/>
          <w:bCs/>
          <w:color w:val="C00000"/>
          <w:sz w:val="32"/>
          <w:szCs w:val="32"/>
          <w:lang w:val="en-US"/>
        </w:rPr>
        <w:t>cess</w:t>
      </w:r>
    </w:p>
    <w:p w14:paraId="6522B952" w14:textId="77777777" w:rsidR="00247E2E" w:rsidRPr="00247E2E" w:rsidRDefault="00247E2E" w:rsidP="00247E2E">
      <w:pPr>
        <w:rPr>
          <w:lang w:val="en-US"/>
        </w:rPr>
      </w:pPr>
      <w:r>
        <w:rPr>
          <w:lang w:val="en-US"/>
        </w:rPr>
        <w:t xml:space="preserve">This practical resource toolbox provides safety and security tips, tools, and guidance for National Societies. </w:t>
      </w:r>
      <w:r w:rsidRPr="00247E2E">
        <w:rPr>
          <w:lang w:val="en-US"/>
        </w:rPr>
        <w:t xml:space="preserve">We are grateful for the contributions from the </w:t>
      </w:r>
      <w:r w:rsidRPr="00247E2E">
        <w:rPr>
          <w:b/>
          <w:bCs/>
          <w:lang w:val="en-US"/>
        </w:rPr>
        <w:t>Georgian Red Cross</w:t>
      </w:r>
      <w:r w:rsidRPr="00247E2E">
        <w:rPr>
          <w:lang w:val="en-US"/>
        </w:rPr>
        <w:t xml:space="preserve">, </w:t>
      </w:r>
      <w:r w:rsidRPr="00247E2E">
        <w:rPr>
          <w:b/>
          <w:bCs/>
          <w:lang w:val="en-US"/>
        </w:rPr>
        <w:t>Sudanese Sudan Red Cross</w:t>
      </w:r>
      <w:r w:rsidRPr="00247E2E">
        <w:rPr>
          <w:lang w:val="en-US"/>
        </w:rPr>
        <w:t xml:space="preserve">, the </w:t>
      </w:r>
      <w:r w:rsidRPr="00247E2E">
        <w:rPr>
          <w:b/>
          <w:bCs/>
          <w:lang w:val="en-US"/>
        </w:rPr>
        <w:t>International Federation of Red Cross and Red Crescent Societies</w:t>
      </w:r>
      <w:r w:rsidRPr="00247E2E">
        <w:rPr>
          <w:lang w:val="en-US"/>
        </w:rPr>
        <w:t xml:space="preserve">, and </w:t>
      </w:r>
      <w:r w:rsidRPr="00247E2E">
        <w:rPr>
          <w:b/>
          <w:bCs/>
          <w:lang w:val="en-US"/>
        </w:rPr>
        <w:t>the International Committee of the Red Cross.</w:t>
      </w:r>
      <w:r w:rsidRPr="00247E2E">
        <w:rPr>
          <w:lang w:val="en-US"/>
        </w:rPr>
        <w:t xml:space="preserve"> </w:t>
      </w:r>
    </w:p>
    <w:p w14:paraId="7D47E435" w14:textId="673D54FA" w:rsidR="00724289" w:rsidRDefault="00531B6E" w:rsidP="00531B6E">
      <w:pPr>
        <w:jc w:val="both"/>
        <w:rPr>
          <w:lang w:val="en-US"/>
        </w:rPr>
      </w:pPr>
      <w:r w:rsidRPr="00531B6E">
        <w:rPr>
          <w:b/>
          <w:bCs/>
          <w:lang w:val="en-US"/>
        </w:rPr>
        <w:t>Who can use this toolkit</w:t>
      </w:r>
      <w:r>
        <w:rPr>
          <w:lang w:val="en-US"/>
        </w:rPr>
        <w:t xml:space="preserve">? </w:t>
      </w:r>
      <w:r w:rsidR="00724289">
        <w:rPr>
          <w:lang w:val="en-US"/>
        </w:rPr>
        <w:t>N</w:t>
      </w:r>
      <w:r>
        <w:rPr>
          <w:lang w:val="en-US"/>
        </w:rPr>
        <w:t>ational Societies</w:t>
      </w:r>
      <w:r w:rsidR="00724289">
        <w:rPr>
          <w:lang w:val="en-US"/>
        </w:rPr>
        <w:t xml:space="preserve"> </w:t>
      </w:r>
      <w:r w:rsidR="00247E2E">
        <w:rPr>
          <w:lang w:val="en-US"/>
        </w:rPr>
        <w:t xml:space="preserve">exposed to </w:t>
      </w:r>
      <w:r w:rsidR="007D0346">
        <w:rPr>
          <w:lang w:val="en-US"/>
        </w:rPr>
        <w:t xml:space="preserve">any forms of security and safety risks, </w:t>
      </w:r>
      <w:r w:rsidR="00247E2E">
        <w:rPr>
          <w:lang w:val="en-US"/>
        </w:rPr>
        <w:t>such as conflicts and other forms of violence</w:t>
      </w:r>
      <w:r w:rsidR="00724289">
        <w:rPr>
          <w:lang w:val="en-US"/>
        </w:rPr>
        <w:t xml:space="preserve"> </w:t>
      </w:r>
      <w:r>
        <w:rPr>
          <w:lang w:val="en-US"/>
        </w:rPr>
        <w:t xml:space="preserve">as well </w:t>
      </w:r>
      <w:r w:rsidR="00247E2E">
        <w:rPr>
          <w:lang w:val="en-US"/>
        </w:rPr>
        <w:t xml:space="preserve">as </w:t>
      </w:r>
      <w:r w:rsidR="00724289">
        <w:rPr>
          <w:lang w:val="en-US"/>
        </w:rPr>
        <w:t>natural disasters</w:t>
      </w:r>
      <w:r w:rsidR="00247E2E">
        <w:rPr>
          <w:lang w:val="en-US"/>
        </w:rPr>
        <w:t xml:space="preserve"> can</w:t>
      </w:r>
      <w:r w:rsidR="00724289">
        <w:rPr>
          <w:lang w:val="en-US"/>
        </w:rPr>
        <w:t xml:space="preserve"> use the</w:t>
      </w:r>
      <w:r w:rsidR="007D0346">
        <w:rPr>
          <w:lang w:val="en-US"/>
        </w:rPr>
        <w:t xml:space="preserve"> toolkit</w:t>
      </w:r>
      <w:r w:rsidR="00724289">
        <w:rPr>
          <w:lang w:val="en-US"/>
        </w:rPr>
        <w:t xml:space="preserve"> to assess and respond to</w:t>
      </w:r>
      <w:r w:rsidR="00724289" w:rsidRPr="00E429D1">
        <w:rPr>
          <w:lang w:val="en-US"/>
        </w:rPr>
        <w:t xml:space="preserve"> </w:t>
      </w:r>
      <w:r w:rsidR="00724289">
        <w:rPr>
          <w:lang w:val="en-US"/>
        </w:rPr>
        <w:t xml:space="preserve">safety and security challenges. </w:t>
      </w:r>
    </w:p>
    <w:p w14:paraId="1C41A641" w14:textId="3E69BF16" w:rsidR="00E606B8" w:rsidRDefault="00531B6E" w:rsidP="00531B6E">
      <w:pPr>
        <w:jc w:val="both"/>
        <w:rPr>
          <w:lang w:val="en-US"/>
        </w:rPr>
      </w:pPr>
      <w:r w:rsidRPr="00531B6E">
        <w:rPr>
          <w:b/>
          <w:bCs/>
          <w:lang w:val="en-US"/>
        </w:rPr>
        <w:t xml:space="preserve">What </w:t>
      </w:r>
      <w:r>
        <w:rPr>
          <w:b/>
          <w:bCs/>
          <w:lang w:val="en-US"/>
        </w:rPr>
        <w:t>can the toolkit be used for</w:t>
      </w:r>
      <w:r w:rsidRPr="00531B6E">
        <w:rPr>
          <w:b/>
          <w:bCs/>
          <w:lang w:val="en-US"/>
        </w:rPr>
        <w:t>?</w:t>
      </w:r>
      <w:r>
        <w:rPr>
          <w:lang w:val="en-US"/>
        </w:rPr>
        <w:t xml:space="preserve"> </w:t>
      </w:r>
      <w:r w:rsidR="00E606B8">
        <w:rPr>
          <w:lang w:val="en-US"/>
        </w:rPr>
        <w:t xml:space="preserve">First, this </w:t>
      </w:r>
      <w:r w:rsidR="00E606B8" w:rsidRPr="00E606B8">
        <w:rPr>
          <w:lang w:val="en-US"/>
        </w:rPr>
        <w:t xml:space="preserve">guide is meant to help </w:t>
      </w:r>
      <w:r>
        <w:rPr>
          <w:lang w:val="en-US"/>
        </w:rPr>
        <w:t>National Societies</w:t>
      </w:r>
      <w:r w:rsidR="00E606B8" w:rsidRPr="00E606B8">
        <w:rPr>
          <w:lang w:val="en-US"/>
        </w:rPr>
        <w:t xml:space="preserve"> assess and analyze their context in relation to </w:t>
      </w:r>
      <w:r w:rsidR="00E606B8">
        <w:rPr>
          <w:lang w:val="en-US"/>
        </w:rPr>
        <w:t>access, safety and security for NS staff</w:t>
      </w:r>
      <w:r w:rsidR="00247E2E">
        <w:rPr>
          <w:lang w:val="en-US"/>
        </w:rPr>
        <w:t xml:space="preserve"> and volunteers. </w:t>
      </w:r>
      <w:r w:rsidR="00E606B8">
        <w:rPr>
          <w:lang w:val="en-US"/>
        </w:rPr>
        <w:t>Second, th</w:t>
      </w:r>
      <w:r w:rsidR="00324950">
        <w:rPr>
          <w:lang w:val="en-US"/>
        </w:rPr>
        <w:t>e</w:t>
      </w:r>
      <w:r w:rsidR="00E606B8">
        <w:rPr>
          <w:lang w:val="en-US"/>
        </w:rPr>
        <w:t xml:space="preserve"> toolkit </w:t>
      </w:r>
      <w:r w:rsidR="00247E2E">
        <w:rPr>
          <w:lang w:val="en-US"/>
        </w:rPr>
        <w:t>helps</w:t>
      </w:r>
      <w:r w:rsidR="00E606B8">
        <w:rPr>
          <w:lang w:val="en-US"/>
        </w:rPr>
        <w:t xml:space="preserve"> NS </w:t>
      </w:r>
      <w:r w:rsidR="00247E2E">
        <w:rPr>
          <w:lang w:val="en-US"/>
        </w:rPr>
        <w:t xml:space="preserve">to </w:t>
      </w:r>
      <w:r w:rsidR="00E606B8">
        <w:rPr>
          <w:lang w:val="en-US"/>
        </w:rPr>
        <w:t>prevent and manage incidents linked to safety and security.</w:t>
      </w:r>
      <w:r>
        <w:rPr>
          <w:lang w:val="en-US"/>
        </w:rPr>
        <w:t xml:space="preserve"> </w:t>
      </w:r>
      <w:r w:rsidR="00247E2E">
        <w:rPr>
          <w:lang w:val="en-US"/>
        </w:rPr>
        <w:t xml:space="preserve">Third, </w:t>
      </w:r>
      <w:r w:rsidR="00324950">
        <w:rPr>
          <w:lang w:val="en-US"/>
        </w:rPr>
        <w:t>it can</w:t>
      </w:r>
      <w:r w:rsidR="00E606B8">
        <w:rPr>
          <w:lang w:val="en-US"/>
        </w:rPr>
        <w:t xml:space="preserve"> be used to run workshops to strengthen safety and security preparedness of NS.</w:t>
      </w:r>
      <w:r>
        <w:rPr>
          <w:lang w:val="en-US"/>
        </w:rPr>
        <w:t xml:space="preserve"> </w:t>
      </w:r>
      <w:r w:rsidR="00324950">
        <w:rPr>
          <w:lang w:val="en-US"/>
        </w:rPr>
        <w:t>Fourth, it facilitates</w:t>
      </w:r>
      <w:r w:rsidR="00E606B8">
        <w:rPr>
          <w:lang w:val="en-US"/>
        </w:rPr>
        <w:t xml:space="preserve"> coordinat</w:t>
      </w:r>
      <w:r w:rsidR="00324950">
        <w:rPr>
          <w:lang w:val="en-US"/>
        </w:rPr>
        <w:t>ion</w:t>
      </w:r>
      <w:r w:rsidR="00E606B8">
        <w:rPr>
          <w:lang w:val="en-US"/>
        </w:rPr>
        <w:t xml:space="preserve"> </w:t>
      </w:r>
      <w:r w:rsidR="00B06AF4">
        <w:rPr>
          <w:lang w:val="en-US"/>
        </w:rPr>
        <w:t>with</w:t>
      </w:r>
      <w:r w:rsidR="00324950">
        <w:rPr>
          <w:lang w:val="en-US"/>
        </w:rPr>
        <w:t xml:space="preserve"> Movement partners regarding</w:t>
      </w:r>
      <w:r w:rsidR="00E606B8">
        <w:rPr>
          <w:lang w:val="en-US"/>
        </w:rPr>
        <w:t xml:space="preserve"> safety and security. </w:t>
      </w:r>
    </w:p>
    <w:p w14:paraId="4F1A9D39" w14:textId="1B7BE57C" w:rsidR="00531B6E" w:rsidRDefault="00531B6E" w:rsidP="00531B6E">
      <w:pPr>
        <w:jc w:val="both"/>
        <w:rPr>
          <w:lang w:val="en-US"/>
        </w:rPr>
      </w:pPr>
      <w:r w:rsidRPr="00531B6E">
        <w:rPr>
          <w:b/>
          <w:bCs/>
          <w:lang w:val="en-US"/>
        </w:rPr>
        <w:t>What is in the toolkit?</w:t>
      </w:r>
      <w:r>
        <w:rPr>
          <w:lang w:val="en-US"/>
        </w:rPr>
        <w:t xml:space="preserve"> </w:t>
      </w:r>
      <w:r w:rsidR="00354EFD">
        <w:rPr>
          <w:lang w:val="en-US"/>
        </w:rPr>
        <w:t>The t</w:t>
      </w:r>
      <w:r>
        <w:rPr>
          <w:lang w:val="en-US"/>
        </w:rPr>
        <w:t xml:space="preserve">ools are </w:t>
      </w:r>
      <w:r w:rsidR="00354EFD">
        <w:rPr>
          <w:lang w:val="en-US"/>
        </w:rPr>
        <w:t>organized along elements one (</w:t>
      </w:r>
      <w:r w:rsidR="00354EFD" w:rsidRPr="00185E07">
        <w:rPr>
          <w:lang w:val="en-US"/>
        </w:rPr>
        <w:t>Element I Context and risk assessment)</w:t>
      </w:r>
      <w:r w:rsidR="00354EFD">
        <w:rPr>
          <w:rStyle w:val="Hyperlink"/>
          <w:lang w:val="en-US"/>
        </w:rPr>
        <w:t xml:space="preserve"> </w:t>
      </w:r>
      <w:r w:rsidR="00354EFD">
        <w:rPr>
          <w:lang w:val="en-US"/>
        </w:rPr>
        <w:t>and eight (</w:t>
      </w:r>
      <w:r w:rsidR="00354EFD" w:rsidRPr="00185E07">
        <w:rPr>
          <w:lang w:val="en-US"/>
        </w:rPr>
        <w:t>Element 8 Operational security risk management)</w:t>
      </w:r>
      <w:r w:rsidR="00354EFD">
        <w:rPr>
          <w:rStyle w:val="Hyperlink"/>
          <w:lang w:val="en-US"/>
        </w:rPr>
        <w:t xml:space="preserve"> </w:t>
      </w:r>
      <w:r w:rsidR="00354EFD">
        <w:rPr>
          <w:lang w:val="en-US"/>
        </w:rPr>
        <w:t xml:space="preserve">of the </w:t>
      </w:r>
      <w:r w:rsidRPr="00531B6E">
        <w:rPr>
          <w:lang w:val="en-US"/>
        </w:rPr>
        <w:t>Safer Access Framework</w:t>
      </w:r>
      <w:r w:rsidR="00354EFD">
        <w:rPr>
          <w:lang w:val="en-US"/>
        </w:rPr>
        <w:t xml:space="preserve">. To accede the </w:t>
      </w:r>
      <w:r w:rsidR="00354EFD" w:rsidRPr="00531B6E">
        <w:rPr>
          <w:lang w:val="en-US"/>
        </w:rPr>
        <w:t>Safer Access Practical Resource Pack</w:t>
      </w:r>
      <w:r w:rsidR="00354EFD">
        <w:rPr>
          <w:lang w:val="en-US"/>
        </w:rPr>
        <w:t xml:space="preserve"> guide, please </w:t>
      </w:r>
      <w:r w:rsidR="00185E07">
        <w:rPr>
          <w:lang w:val="en-US"/>
        </w:rPr>
        <w:t>go to www.saferaccess.icrc.org</w:t>
      </w:r>
      <w:r w:rsidR="00354EFD">
        <w:rPr>
          <w:lang w:val="en-US"/>
        </w:rPr>
        <w:t>)</w:t>
      </w:r>
    </w:p>
    <w:p w14:paraId="5CC90405" w14:textId="59BF33C5" w:rsidR="00E606B8" w:rsidRDefault="00EE0EDC" w:rsidP="00531B6E">
      <w:pPr>
        <w:jc w:val="both"/>
        <w:rPr>
          <w:lang w:val="en-US"/>
        </w:rPr>
      </w:pPr>
      <w:r>
        <w:rPr>
          <w:lang w:val="en-US"/>
        </w:rPr>
        <w:t>Please find hereafter the details of the toolkit.</w:t>
      </w:r>
    </w:p>
    <w:p w14:paraId="1731DFE4" w14:textId="6F66E0B4" w:rsidR="00A00564" w:rsidRDefault="00A00564" w:rsidP="00531B6E">
      <w:pPr>
        <w:jc w:val="both"/>
        <w:rPr>
          <w:lang w:val="en-US"/>
        </w:rPr>
      </w:pPr>
    </w:p>
    <w:p w14:paraId="58C7400B" w14:textId="6EF0BA23" w:rsidR="00A00564" w:rsidRDefault="00A00564" w:rsidP="00531B6E">
      <w:pPr>
        <w:jc w:val="both"/>
        <w:rPr>
          <w:lang w:val="en-US"/>
        </w:rPr>
      </w:pPr>
    </w:p>
    <w:p w14:paraId="2421D03F" w14:textId="77777777" w:rsidR="00A00564" w:rsidRDefault="00A00564" w:rsidP="00531B6E">
      <w:pPr>
        <w:jc w:val="both"/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82"/>
        <w:gridCol w:w="6180"/>
      </w:tblGrid>
      <w:tr w:rsidR="002B7C8C" w14:paraId="399ADB75" w14:textId="77777777" w:rsidTr="002B7C8C">
        <w:tc>
          <w:tcPr>
            <w:tcW w:w="1590" w:type="pct"/>
            <w:shd w:val="clear" w:color="auto" w:fill="BFBFBF" w:themeFill="background1" w:themeFillShade="BF"/>
          </w:tcPr>
          <w:p w14:paraId="566E80B4" w14:textId="65AF63F2" w:rsidR="002B7C8C" w:rsidRPr="00540DA3" w:rsidRDefault="002B7C8C" w:rsidP="00540DA3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Elements</w:t>
            </w:r>
          </w:p>
        </w:tc>
        <w:tc>
          <w:tcPr>
            <w:tcW w:w="3410" w:type="pct"/>
            <w:shd w:val="clear" w:color="auto" w:fill="BFBFBF" w:themeFill="background1" w:themeFillShade="BF"/>
          </w:tcPr>
          <w:p w14:paraId="42EA4EBA" w14:textId="7A26AEB4" w:rsidR="002B7C8C" w:rsidRPr="00540DA3" w:rsidRDefault="002B7C8C" w:rsidP="00540DA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fr-CH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fr-CH"/>
              </w:rPr>
              <w:t>Tools</w:t>
            </w:r>
          </w:p>
        </w:tc>
      </w:tr>
      <w:tr w:rsidR="00A00564" w:rsidRPr="00A31FC3" w14:paraId="06005B8D" w14:textId="7FC005B4" w:rsidTr="002B7C8C">
        <w:trPr>
          <w:trHeight w:val="424"/>
        </w:trPr>
        <w:tc>
          <w:tcPr>
            <w:tcW w:w="1590" w:type="pct"/>
            <w:vMerge w:val="restart"/>
            <w:shd w:val="clear" w:color="auto" w:fill="F2F2F2" w:themeFill="background1" w:themeFillShade="F2"/>
            <w:vAlign w:val="center"/>
          </w:tcPr>
          <w:p w14:paraId="4ACF3CD7" w14:textId="3A1222AD" w:rsidR="00A00564" w:rsidRDefault="00A00564" w:rsidP="00540DA3">
            <w:pPr>
              <w:rPr>
                <w:rFonts w:ascii="Calibri" w:eastAsia="Times New Roman" w:hAnsi="Calibri" w:cs="Calibri"/>
                <w:lang w:val="en-US" w:eastAsia="fr-CH"/>
              </w:rPr>
            </w:pPr>
            <w:r w:rsidRPr="00462E07">
              <w:rPr>
                <w:b/>
                <w:bCs/>
                <w:lang w:val="en-US"/>
              </w:rPr>
              <w:t xml:space="preserve">Element 1: </w:t>
            </w:r>
            <w:r w:rsidRPr="00462E07">
              <w:rPr>
                <w:rFonts w:ascii="Calibri" w:hAnsi="Calibri" w:cs="Calibri"/>
                <w:b/>
                <w:bCs/>
                <w:lang w:val="en-US"/>
              </w:rPr>
              <w:t>Context and risk assessment</w:t>
            </w:r>
          </w:p>
          <w:p w14:paraId="09A4F4EC" w14:textId="0F16AF8F" w:rsidR="00A00564" w:rsidRPr="00462E07" w:rsidRDefault="00A00564" w:rsidP="00540DA3">
            <w:pPr>
              <w:rPr>
                <w:b/>
                <w:bCs/>
                <w:lang w:val="en-US"/>
              </w:rPr>
            </w:pPr>
          </w:p>
        </w:tc>
        <w:tc>
          <w:tcPr>
            <w:tcW w:w="3410" w:type="pct"/>
          </w:tcPr>
          <w:p w14:paraId="1854BDC1" w14:textId="6DCA653A" w:rsidR="00A00564" w:rsidRPr="002B7C8C" w:rsidRDefault="00A00564" w:rsidP="00411C9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11" w:hanging="709"/>
              <w:rPr>
                <w:rFonts w:ascii="Calibri" w:eastAsia="Times New Roman" w:hAnsi="Calibri" w:cs="Calibri"/>
                <w:lang w:val="en-US" w:eastAsia="fr-CH"/>
              </w:rPr>
            </w:pPr>
            <w:r>
              <w:rPr>
                <w:rFonts w:ascii="Calibri" w:eastAsia="Times New Roman" w:hAnsi="Calibri" w:cs="Calibri"/>
                <w:lang w:val="en-US" w:eastAsia="fr-CH"/>
              </w:rPr>
              <w:t>Structure of a c</w:t>
            </w:r>
            <w:r w:rsidRPr="002B7C8C">
              <w:rPr>
                <w:rFonts w:ascii="Calibri" w:eastAsia="Times New Roman" w:hAnsi="Calibri" w:cs="Calibri"/>
                <w:lang w:val="en-US" w:eastAsia="fr-CH"/>
              </w:rPr>
              <w:t xml:space="preserve">ontext </w:t>
            </w:r>
            <w:r>
              <w:rPr>
                <w:rFonts w:ascii="Calibri" w:eastAsia="Times New Roman" w:hAnsi="Calibri" w:cs="Calibri"/>
                <w:lang w:val="en-US" w:eastAsia="fr-CH"/>
              </w:rPr>
              <w:t>and risk a</w:t>
            </w:r>
            <w:r w:rsidRPr="002B7C8C">
              <w:rPr>
                <w:rFonts w:ascii="Calibri" w:eastAsia="Times New Roman" w:hAnsi="Calibri" w:cs="Calibri"/>
                <w:lang w:val="en-US" w:eastAsia="fr-CH"/>
              </w:rPr>
              <w:t xml:space="preserve">ssessment </w:t>
            </w:r>
          </w:p>
        </w:tc>
      </w:tr>
      <w:tr w:rsidR="00A00564" w:rsidRPr="00B06AF4" w14:paraId="2346C8A2" w14:textId="77777777" w:rsidTr="00A31FC3">
        <w:trPr>
          <w:trHeight w:val="423"/>
        </w:trPr>
        <w:tc>
          <w:tcPr>
            <w:tcW w:w="1590" w:type="pct"/>
            <w:vMerge/>
            <w:shd w:val="clear" w:color="auto" w:fill="F2F2F2" w:themeFill="background1" w:themeFillShade="F2"/>
            <w:vAlign w:val="center"/>
          </w:tcPr>
          <w:p w14:paraId="325E3638" w14:textId="77777777" w:rsidR="00A00564" w:rsidRPr="00462E07" w:rsidRDefault="00A00564" w:rsidP="00540DA3">
            <w:pPr>
              <w:rPr>
                <w:b/>
                <w:bCs/>
                <w:lang w:val="en-US"/>
              </w:rPr>
            </w:pPr>
            <w:bookmarkStart w:id="0" w:name="_Hlk124411027"/>
          </w:p>
        </w:tc>
        <w:tc>
          <w:tcPr>
            <w:tcW w:w="3410" w:type="pct"/>
            <w:shd w:val="clear" w:color="auto" w:fill="FFFFFF" w:themeFill="background1"/>
          </w:tcPr>
          <w:p w14:paraId="79BC6C70" w14:textId="602E2220" w:rsidR="00A00564" w:rsidRPr="002B7C8C" w:rsidRDefault="00A00564" w:rsidP="00411C93">
            <w:pPr>
              <w:pStyle w:val="ListParagraph"/>
              <w:numPr>
                <w:ilvl w:val="1"/>
                <w:numId w:val="11"/>
              </w:numPr>
              <w:spacing w:line="276" w:lineRule="auto"/>
              <w:ind w:left="1111" w:hanging="709"/>
              <w:rPr>
                <w:rFonts w:ascii="Calibri" w:eastAsia="Times New Roman" w:hAnsi="Calibri" w:cs="Calibri"/>
                <w:lang w:val="en-US" w:eastAsia="fr-CH"/>
              </w:rPr>
            </w:pPr>
            <w:r>
              <w:rPr>
                <w:rFonts w:ascii="Calibri" w:eastAsia="Times New Roman" w:hAnsi="Calibri" w:cs="Calibri"/>
                <w:lang w:val="en-US" w:eastAsia="fr-CH"/>
              </w:rPr>
              <w:t>Step-by-step instruction</w:t>
            </w:r>
          </w:p>
        </w:tc>
      </w:tr>
      <w:tr w:rsidR="00A00564" w:rsidRPr="00B06AF4" w14:paraId="7ECAD293" w14:textId="77777777" w:rsidTr="002B7C8C">
        <w:trPr>
          <w:trHeight w:val="423"/>
        </w:trPr>
        <w:tc>
          <w:tcPr>
            <w:tcW w:w="1590" w:type="pct"/>
            <w:vMerge/>
            <w:shd w:val="clear" w:color="auto" w:fill="F2F2F2" w:themeFill="background1" w:themeFillShade="F2"/>
            <w:vAlign w:val="center"/>
          </w:tcPr>
          <w:p w14:paraId="6D8BA818" w14:textId="77777777" w:rsidR="00A00564" w:rsidRPr="00462E07" w:rsidRDefault="00A00564" w:rsidP="00540DA3">
            <w:pPr>
              <w:rPr>
                <w:b/>
                <w:bCs/>
                <w:lang w:val="en-US"/>
              </w:rPr>
            </w:pPr>
          </w:p>
        </w:tc>
        <w:tc>
          <w:tcPr>
            <w:tcW w:w="3410" w:type="pct"/>
          </w:tcPr>
          <w:p w14:paraId="5B28DE7B" w14:textId="6F659FE3" w:rsidR="00A00564" w:rsidRPr="002B7C8C" w:rsidRDefault="00A00564" w:rsidP="00411C93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1111" w:hanging="709"/>
              <w:rPr>
                <w:rFonts w:ascii="Calibri" w:eastAsia="Times New Roman" w:hAnsi="Calibri" w:cs="Calibri"/>
                <w:lang w:val="en-US" w:eastAsia="fr-CH"/>
              </w:rPr>
            </w:pPr>
            <w:r>
              <w:rPr>
                <w:lang w:val="en-US"/>
              </w:rPr>
              <w:t xml:space="preserve">Context </w:t>
            </w:r>
            <w:r w:rsidR="00F01CD6">
              <w:rPr>
                <w:lang w:val="en-US"/>
              </w:rPr>
              <w:t>a</w:t>
            </w:r>
            <w:r>
              <w:rPr>
                <w:lang w:val="en-US"/>
              </w:rPr>
              <w:t xml:space="preserve">ssessment </w:t>
            </w:r>
          </w:p>
        </w:tc>
      </w:tr>
      <w:tr w:rsidR="00A00564" w:rsidRPr="00A31FC3" w14:paraId="6CA4616D" w14:textId="77777777" w:rsidTr="002B7C8C">
        <w:trPr>
          <w:trHeight w:val="423"/>
        </w:trPr>
        <w:tc>
          <w:tcPr>
            <w:tcW w:w="1590" w:type="pct"/>
            <w:vMerge/>
            <w:shd w:val="clear" w:color="auto" w:fill="F2F2F2" w:themeFill="background1" w:themeFillShade="F2"/>
            <w:vAlign w:val="center"/>
          </w:tcPr>
          <w:p w14:paraId="540B92B7" w14:textId="77777777" w:rsidR="00A00564" w:rsidRPr="00462E07" w:rsidRDefault="00A00564" w:rsidP="00540DA3">
            <w:pPr>
              <w:rPr>
                <w:b/>
                <w:bCs/>
                <w:lang w:val="en-US"/>
              </w:rPr>
            </w:pPr>
          </w:p>
        </w:tc>
        <w:tc>
          <w:tcPr>
            <w:tcW w:w="3410" w:type="pct"/>
          </w:tcPr>
          <w:p w14:paraId="5B0868AB" w14:textId="13E5DE1C" w:rsidR="00A00564" w:rsidRDefault="00A00564" w:rsidP="00411C93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1111" w:hanging="709"/>
              <w:rPr>
                <w:lang w:val="en-US"/>
              </w:rPr>
            </w:pPr>
            <w:r w:rsidRPr="00A00564">
              <w:rPr>
                <w:lang w:val="en-US"/>
              </w:rPr>
              <w:t xml:space="preserve">Security and </w:t>
            </w:r>
            <w:r w:rsidR="00F01CD6">
              <w:rPr>
                <w:lang w:val="en-US"/>
              </w:rPr>
              <w:t>s</w:t>
            </w:r>
            <w:r w:rsidRPr="00A00564">
              <w:rPr>
                <w:lang w:val="en-US"/>
              </w:rPr>
              <w:t>afety risk assessment table</w:t>
            </w:r>
          </w:p>
        </w:tc>
      </w:tr>
      <w:tr w:rsidR="00A00564" w:rsidRPr="00A31FC3" w14:paraId="19B67CC0" w14:textId="77777777" w:rsidTr="002B7C8C">
        <w:trPr>
          <w:trHeight w:val="423"/>
        </w:trPr>
        <w:tc>
          <w:tcPr>
            <w:tcW w:w="1590" w:type="pct"/>
            <w:vMerge/>
            <w:shd w:val="clear" w:color="auto" w:fill="F2F2F2" w:themeFill="background1" w:themeFillShade="F2"/>
            <w:vAlign w:val="center"/>
          </w:tcPr>
          <w:p w14:paraId="17E60A63" w14:textId="77777777" w:rsidR="00A00564" w:rsidRPr="00462E07" w:rsidRDefault="00A00564" w:rsidP="00540DA3">
            <w:pPr>
              <w:rPr>
                <w:b/>
                <w:bCs/>
                <w:lang w:val="en-US"/>
              </w:rPr>
            </w:pPr>
          </w:p>
        </w:tc>
        <w:tc>
          <w:tcPr>
            <w:tcW w:w="3410" w:type="pct"/>
          </w:tcPr>
          <w:p w14:paraId="6F292D29" w14:textId="3EFDC8FC" w:rsidR="00A00564" w:rsidRDefault="00A00564" w:rsidP="00411C93">
            <w:pPr>
              <w:pStyle w:val="ListParagraph"/>
              <w:numPr>
                <w:ilvl w:val="2"/>
                <w:numId w:val="11"/>
              </w:numPr>
              <w:spacing w:line="276" w:lineRule="auto"/>
              <w:ind w:left="1111" w:hanging="709"/>
              <w:rPr>
                <w:lang w:val="en-US"/>
              </w:rPr>
            </w:pPr>
            <w:r>
              <w:rPr>
                <w:lang w:val="en-US"/>
              </w:rPr>
              <w:t>List and details of risks</w:t>
            </w:r>
          </w:p>
        </w:tc>
      </w:tr>
      <w:tr w:rsidR="002B7C8C" w:rsidRPr="00A31FC3" w14:paraId="1AD1E758" w14:textId="644604C3" w:rsidTr="002B7C8C">
        <w:tc>
          <w:tcPr>
            <w:tcW w:w="1590" w:type="pct"/>
            <w:vMerge w:val="restart"/>
            <w:shd w:val="clear" w:color="auto" w:fill="F2F2F2" w:themeFill="background1" w:themeFillShade="F2"/>
            <w:vAlign w:val="center"/>
          </w:tcPr>
          <w:p w14:paraId="1384AB47" w14:textId="77777777" w:rsidR="002B7C8C" w:rsidRDefault="002B7C8C" w:rsidP="00540DA3">
            <w:pPr>
              <w:rPr>
                <w:b/>
                <w:bCs/>
                <w:lang w:val="en-US"/>
              </w:rPr>
            </w:pPr>
            <w:bookmarkStart w:id="1" w:name="_Hlk124411285"/>
            <w:bookmarkStart w:id="2" w:name="_Hlk124754082"/>
            <w:bookmarkEnd w:id="0"/>
            <w:r w:rsidRPr="00724289">
              <w:rPr>
                <w:b/>
                <w:bCs/>
                <w:lang w:val="en-US"/>
              </w:rPr>
              <w:t>Element 8: Operational security risk management</w:t>
            </w:r>
          </w:p>
          <w:bookmarkEnd w:id="1"/>
          <w:p w14:paraId="600F5C53" w14:textId="4072CDB7" w:rsidR="002B7C8C" w:rsidRPr="00724289" w:rsidRDefault="002B7C8C" w:rsidP="00540DA3">
            <w:pPr>
              <w:rPr>
                <w:b/>
                <w:bCs/>
                <w:lang w:val="en-US"/>
              </w:rPr>
            </w:pPr>
          </w:p>
        </w:tc>
        <w:tc>
          <w:tcPr>
            <w:tcW w:w="3410" w:type="pct"/>
          </w:tcPr>
          <w:p w14:paraId="4855B372" w14:textId="7B487B28" w:rsidR="002B7C8C" w:rsidRPr="00A00564" w:rsidRDefault="00F01CD6" w:rsidP="00411C93">
            <w:pPr>
              <w:pStyle w:val="ListParagraph"/>
              <w:numPr>
                <w:ilvl w:val="0"/>
                <w:numId w:val="11"/>
              </w:numPr>
              <w:ind w:left="1111" w:hanging="709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Operational security risk management (table of content)</w:t>
            </w:r>
            <w:hyperlink r:id="rId8" w:history="1"/>
          </w:p>
        </w:tc>
      </w:tr>
      <w:tr w:rsidR="002B7C8C" w:rsidRPr="00A31FC3" w14:paraId="6A8C7A88" w14:textId="77777777" w:rsidTr="002B7C8C">
        <w:tc>
          <w:tcPr>
            <w:tcW w:w="1590" w:type="pct"/>
            <w:vMerge/>
            <w:shd w:val="clear" w:color="auto" w:fill="F2F2F2" w:themeFill="background1" w:themeFillShade="F2"/>
          </w:tcPr>
          <w:p w14:paraId="2CE0EC63" w14:textId="77777777" w:rsidR="002B7C8C" w:rsidRDefault="002B7C8C" w:rsidP="00540DA3">
            <w:pPr>
              <w:rPr>
                <w:lang w:val="en-US"/>
              </w:rPr>
            </w:pPr>
          </w:p>
        </w:tc>
        <w:tc>
          <w:tcPr>
            <w:tcW w:w="3410" w:type="pct"/>
          </w:tcPr>
          <w:p w14:paraId="6E5D1744" w14:textId="3738DCE0" w:rsidR="002B7C8C" w:rsidRPr="00F01CD6" w:rsidRDefault="00F01CD6" w:rsidP="00411C93">
            <w:pPr>
              <w:pStyle w:val="ListParagraph"/>
              <w:numPr>
                <w:ilvl w:val="1"/>
                <w:numId w:val="11"/>
              </w:numPr>
              <w:ind w:left="1111" w:hanging="709"/>
              <w:rPr>
                <w:rFonts w:ascii="Calibri" w:eastAsia="Times New Roman" w:hAnsi="Calibri" w:cs="Calibri"/>
                <w:lang w:val="en-US" w:eastAsia="fr-CH"/>
              </w:rPr>
            </w:pPr>
            <w:r>
              <w:rPr>
                <w:rFonts w:ascii="Calibri" w:eastAsia="Times New Roman" w:hAnsi="Calibri" w:cs="Calibri"/>
                <w:lang w:val="en-US" w:eastAsia="fr-CH"/>
              </w:rPr>
              <w:t>Safety, security &amp; risk Management organizational capacity tool</w:t>
            </w:r>
          </w:p>
        </w:tc>
      </w:tr>
      <w:tr w:rsidR="002B7C8C" w:rsidRPr="00831F8A" w14:paraId="77614DE4" w14:textId="77777777" w:rsidTr="002B7C8C">
        <w:tc>
          <w:tcPr>
            <w:tcW w:w="1590" w:type="pct"/>
            <w:vMerge/>
            <w:shd w:val="clear" w:color="auto" w:fill="F2F2F2" w:themeFill="background1" w:themeFillShade="F2"/>
          </w:tcPr>
          <w:p w14:paraId="2A0FF0C1" w14:textId="77777777" w:rsidR="002B7C8C" w:rsidRDefault="002B7C8C" w:rsidP="00540DA3">
            <w:pPr>
              <w:rPr>
                <w:lang w:val="en-US"/>
              </w:rPr>
            </w:pPr>
          </w:p>
        </w:tc>
        <w:tc>
          <w:tcPr>
            <w:tcW w:w="3410" w:type="pct"/>
            <w:shd w:val="clear" w:color="auto" w:fill="auto"/>
          </w:tcPr>
          <w:p w14:paraId="1FDDD929" w14:textId="7A5F3F0F" w:rsidR="002B7C8C" w:rsidRPr="00F01CD6" w:rsidRDefault="00F01CD6" w:rsidP="00411C93">
            <w:pPr>
              <w:pStyle w:val="ListParagraph"/>
              <w:numPr>
                <w:ilvl w:val="1"/>
                <w:numId w:val="11"/>
              </w:numPr>
              <w:ind w:left="1111" w:hanging="709"/>
              <w:rPr>
                <w:rFonts w:ascii="Calibri" w:eastAsia="Times New Roman" w:hAnsi="Calibri" w:cs="Calibri"/>
                <w:lang w:val="en-US" w:eastAsia="fr-CH"/>
              </w:rPr>
            </w:pPr>
            <w:r>
              <w:rPr>
                <w:rFonts w:ascii="Calibri" w:eastAsia="Times New Roman" w:hAnsi="Calibri" w:cs="Calibri"/>
                <w:lang w:val="en-US" w:eastAsia="fr-CH"/>
              </w:rPr>
              <w:t>MSR checklist</w:t>
            </w:r>
          </w:p>
        </w:tc>
      </w:tr>
      <w:bookmarkEnd w:id="2"/>
      <w:tr w:rsidR="002B7C8C" w:rsidRPr="00A31FC3" w14:paraId="539D2B14" w14:textId="77777777" w:rsidTr="00A31FC3">
        <w:tc>
          <w:tcPr>
            <w:tcW w:w="1590" w:type="pct"/>
            <w:vMerge/>
            <w:shd w:val="clear" w:color="auto" w:fill="F2F2F2" w:themeFill="background1" w:themeFillShade="F2"/>
          </w:tcPr>
          <w:p w14:paraId="17E9816F" w14:textId="77777777" w:rsidR="002B7C8C" w:rsidRDefault="002B7C8C" w:rsidP="00540DA3">
            <w:pPr>
              <w:rPr>
                <w:lang w:val="en-US"/>
              </w:rPr>
            </w:pPr>
          </w:p>
        </w:tc>
        <w:tc>
          <w:tcPr>
            <w:tcW w:w="3410" w:type="pct"/>
            <w:shd w:val="clear" w:color="auto" w:fill="FFFFFF" w:themeFill="background1"/>
          </w:tcPr>
          <w:p w14:paraId="398EADF0" w14:textId="4D7E52AC" w:rsidR="002B7C8C" w:rsidRPr="00F01CD6" w:rsidRDefault="00F01CD6" w:rsidP="00411C93">
            <w:pPr>
              <w:pStyle w:val="ListParagraph"/>
              <w:numPr>
                <w:ilvl w:val="1"/>
                <w:numId w:val="11"/>
              </w:numPr>
              <w:ind w:left="1111" w:hanging="709"/>
              <w:rPr>
                <w:lang w:val="en-US"/>
              </w:rPr>
            </w:pPr>
            <w:r>
              <w:rPr>
                <w:lang w:val="en-US"/>
              </w:rPr>
              <w:t>Guide to managing safety &amp; security incidents</w:t>
            </w:r>
          </w:p>
        </w:tc>
      </w:tr>
      <w:tr w:rsidR="002B7C8C" w:rsidRPr="00A31FC3" w14:paraId="064978D7" w14:textId="77777777" w:rsidTr="00A31FC3">
        <w:tc>
          <w:tcPr>
            <w:tcW w:w="1590" w:type="pct"/>
            <w:vMerge/>
            <w:shd w:val="clear" w:color="auto" w:fill="FFFF00"/>
          </w:tcPr>
          <w:p w14:paraId="59350147" w14:textId="77777777" w:rsidR="002B7C8C" w:rsidRDefault="002B7C8C" w:rsidP="00540DA3">
            <w:pPr>
              <w:rPr>
                <w:lang w:val="en-US"/>
              </w:rPr>
            </w:pPr>
          </w:p>
        </w:tc>
        <w:tc>
          <w:tcPr>
            <w:tcW w:w="3410" w:type="pct"/>
            <w:shd w:val="clear" w:color="auto" w:fill="FFFFFF" w:themeFill="background1"/>
          </w:tcPr>
          <w:p w14:paraId="58A8B679" w14:textId="64088DCF" w:rsidR="002B7C8C" w:rsidRPr="00F01CD6" w:rsidRDefault="00F01CD6" w:rsidP="00411C93">
            <w:pPr>
              <w:pStyle w:val="ListParagraph"/>
              <w:numPr>
                <w:ilvl w:val="1"/>
                <w:numId w:val="11"/>
              </w:numPr>
              <w:ind w:left="1111" w:hanging="709"/>
              <w:rPr>
                <w:rFonts w:ascii="Calibri" w:eastAsia="Times New Roman" w:hAnsi="Calibri" w:cs="Calibri"/>
                <w:lang w:val="en-US" w:eastAsia="fr-CH"/>
              </w:rPr>
            </w:pPr>
            <w:r>
              <w:rPr>
                <w:rFonts w:ascii="Calibri" w:eastAsia="Times New Roman" w:hAnsi="Calibri" w:cs="Calibri"/>
                <w:lang w:val="en-US" w:eastAsia="fr-CH"/>
              </w:rPr>
              <w:t>Crisis Management Systems and Cycles</w:t>
            </w:r>
          </w:p>
        </w:tc>
      </w:tr>
      <w:tr w:rsidR="002B7C8C" w:rsidRPr="00A31FC3" w14:paraId="57EA7A85" w14:textId="22E591E8" w:rsidTr="00A31FC3">
        <w:tc>
          <w:tcPr>
            <w:tcW w:w="1590" w:type="pct"/>
            <w:vMerge/>
            <w:shd w:val="clear" w:color="auto" w:fill="FF0000"/>
          </w:tcPr>
          <w:p w14:paraId="01A4E706" w14:textId="77777777" w:rsidR="002B7C8C" w:rsidRDefault="002B7C8C" w:rsidP="00540DA3">
            <w:pPr>
              <w:rPr>
                <w:lang w:val="en-US"/>
              </w:rPr>
            </w:pPr>
          </w:p>
        </w:tc>
        <w:tc>
          <w:tcPr>
            <w:tcW w:w="3410" w:type="pct"/>
            <w:shd w:val="clear" w:color="auto" w:fill="FFFFFF" w:themeFill="background1"/>
          </w:tcPr>
          <w:p w14:paraId="2E3F92AB" w14:textId="73CBE88B" w:rsidR="002B7C8C" w:rsidRPr="00F01CD6" w:rsidRDefault="00411C93" w:rsidP="00411C93">
            <w:pPr>
              <w:ind w:left="1395" w:hanging="993"/>
              <w:rPr>
                <w:lang w:val="en-US"/>
              </w:rPr>
            </w:pPr>
            <w:r w:rsidRPr="00F01CD6">
              <w:rPr>
                <w:lang w:val="en-US"/>
              </w:rPr>
              <w:t xml:space="preserve">02.5.1 </w:t>
            </w:r>
            <w:r>
              <w:rPr>
                <w:lang w:val="en-US"/>
              </w:rPr>
              <w:t xml:space="preserve">  </w:t>
            </w:r>
            <w:r w:rsidRPr="00F01CD6">
              <w:rPr>
                <w:lang w:val="en-US"/>
              </w:rPr>
              <w:t>Template</w:t>
            </w:r>
            <w:r w:rsidR="00F01CD6" w:rsidRPr="00F01CD6">
              <w:rPr>
                <w:lang w:val="en-US"/>
              </w:rPr>
              <w:t xml:space="preserve"> safety and security r</w:t>
            </w:r>
            <w:r w:rsidR="00F01CD6">
              <w:rPr>
                <w:lang w:val="en-US"/>
              </w:rPr>
              <w:t>egulations</w:t>
            </w:r>
          </w:p>
        </w:tc>
      </w:tr>
      <w:tr w:rsidR="00F01CD6" w:rsidRPr="00A31FC3" w14:paraId="35DCEE37" w14:textId="77777777" w:rsidTr="00A31FC3">
        <w:tc>
          <w:tcPr>
            <w:tcW w:w="1590" w:type="pct"/>
            <w:vMerge/>
            <w:shd w:val="clear" w:color="auto" w:fill="FF0000"/>
          </w:tcPr>
          <w:p w14:paraId="591F52F9" w14:textId="77777777" w:rsidR="00F01CD6" w:rsidRDefault="00F01CD6" w:rsidP="00540DA3">
            <w:pPr>
              <w:rPr>
                <w:lang w:val="en-US"/>
              </w:rPr>
            </w:pPr>
          </w:p>
        </w:tc>
        <w:tc>
          <w:tcPr>
            <w:tcW w:w="3410" w:type="pct"/>
            <w:shd w:val="clear" w:color="auto" w:fill="FFFFFF" w:themeFill="background1"/>
          </w:tcPr>
          <w:p w14:paraId="21BEF580" w14:textId="46A37B9F" w:rsidR="00F01CD6" w:rsidRPr="00411C93" w:rsidRDefault="00411C93" w:rsidP="00411C93">
            <w:pPr>
              <w:pStyle w:val="ListParagraph"/>
              <w:numPr>
                <w:ilvl w:val="2"/>
                <w:numId w:val="13"/>
              </w:numPr>
              <w:ind w:hanging="709"/>
              <w:rPr>
                <w:lang w:val="en-US"/>
              </w:rPr>
            </w:pPr>
            <w:r w:rsidRPr="00411C93">
              <w:rPr>
                <w:lang w:val="en-US"/>
              </w:rPr>
              <w:t>Example of safety and security regulations</w:t>
            </w:r>
          </w:p>
        </w:tc>
      </w:tr>
      <w:tr w:rsidR="00411C93" w:rsidRPr="00B06AF4" w14:paraId="331B1A90" w14:textId="77777777" w:rsidTr="002B7C8C">
        <w:tc>
          <w:tcPr>
            <w:tcW w:w="1590" w:type="pct"/>
            <w:vMerge/>
            <w:shd w:val="clear" w:color="auto" w:fill="F2F2F2" w:themeFill="background1" w:themeFillShade="F2"/>
          </w:tcPr>
          <w:p w14:paraId="1D2CDB14" w14:textId="77777777" w:rsidR="00411C93" w:rsidRDefault="00411C93" w:rsidP="00540DA3">
            <w:pPr>
              <w:rPr>
                <w:lang w:val="en-US"/>
              </w:rPr>
            </w:pPr>
          </w:p>
        </w:tc>
        <w:tc>
          <w:tcPr>
            <w:tcW w:w="3410" w:type="pct"/>
          </w:tcPr>
          <w:p w14:paraId="5CDD5BE4" w14:textId="332028D9" w:rsidR="00411C93" w:rsidRPr="00411C93" w:rsidRDefault="00411C93" w:rsidP="00411C93">
            <w:pPr>
              <w:ind w:left="1253" w:hanging="851"/>
              <w:rPr>
                <w:lang w:val="en-US"/>
              </w:rPr>
            </w:pPr>
            <w:r>
              <w:rPr>
                <w:lang w:val="en-US"/>
              </w:rPr>
              <w:t>02.6.     Field trip movement</w:t>
            </w:r>
          </w:p>
        </w:tc>
      </w:tr>
      <w:tr w:rsidR="00411C93" w:rsidRPr="00A31FC3" w14:paraId="30B3D9FE" w14:textId="77777777" w:rsidTr="002B7C8C">
        <w:tc>
          <w:tcPr>
            <w:tcW w:w="1590" w:type="pct"/>
            <w:vMerge/>
            <w:shd w:val="clear" w:color="auto" w:fill="F2F2F2" w:themeFill="background1" w:themeFillShade="F2"/>
          </w:tcPr>
          <w:p w14:paraId="3E848E2B" w14:textId="77777777" w:rsidR="00411C93" w:rsidRDefault="00411C93" w:rsidP="00540DA3">
            <w:pPr>
              <w:rPr>
                <w:lang w:val="en-US"/>
              </w:rPr>
            </w:pPr>
          </w:p>
        </w:tc>
        <w:tc>
          <w:tcPr>
            <w:tcW w:w="3410" w:type="pct"/>
          </w:tcPr>
          <w:p w14:paraId="7E4ED0F9" w14:textId="4B682ADE" w:rsidR="00411C93" w:rsidRDefault="00411C93" w:rsidP="00411C93">
            <w:pPr>
              <w:ind w:left="1253" w:hanging="851"/>
              <w:rPr>
                <w:lang w:val="en-US"/>
              </w:rPr>
            </w:pPr>
            <w:r>
              <w:rPr>
                <w:lang w:val="en-US"/>
              </w:rPr>
              <w:t>02.7.     Safety and security report template</w:t>
            </w:r>
          </w:p>
        </w:tc>
      </w:tr>
    </w:tbl>
    <w:p w14:paraId="0A678204" w14:textId="3FF38E6C" w:rsidR="003B15E9" w:rsidRDefault="003B15E9">
      <w:pPr>
        <w:rPr>
          <w:lang w:val="en-US"/>
        </w:rPr>
      </w:pPr>
    </w:p>
    <w:sectPr w:rsidR="003B15E9" w:rsidSect="00D367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B041" w14:textId="77777777" w:rsidR="00D40DC0" w:rsidRDefault="00D40DC0" w:rsidP="00303213">
      <w:pPr>
        <w:spacing w:after="0" w:line="240" w:lineRule="auto"/>
      </w:pPr>
      <w:r>
        <w:separator/>
      </w:r>
    </w:p>
  </w:endnote>
  <w:endnote w:type="continuationSeparator" w:id="0">
    <w:p w14:paraId="228D749D" w14:textId="77777777" w:rsidR="00D40DC0" w:rsidRDefault="00D40DC0" w:rsidP="0030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97BB" w14:textId="77777777" w:rsidR="00D40DC0" w:rsidRDefault="00D40DC0" w:rsidP="00303213">
      <w:pPr>
        <w:spacing w:after="0" w:line="240" w:lineRule="auto"/>
      </w:pPr>
      <w:r>
        <w:separator/>
      </w:r>
    </w:p>
  </w:footnote>
  <w:footnote w:type="continuationSeparator" w:id="0">
    <w:p w14:paraId="3A6FD061" w14:textId="77777777" w:rsidR="00D40DC0" w:rsidRDefault="00D40DC0" w:rsidP="0030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1B4F" w14:textId="4AA0B4B2" w:rsidR="00303213" w:rsidRPr="00303213" w:rsidRDefault="00875486">
    <w:pPr>
      <w:pStyle w:val="Header"/>
      <w:rPr>
        <w:lang w:val="en-US"/>
      </w:rPr>
    </w:pPr>
    <w:r>
      <w:rPr>
        <w:lang w:val="en-US"/>
      </w:rPr>
      <w:t>Document 00</w:t>
    </w:r>
    <w:r>
      <w:rPr>
        <w:lang w:val="en-US"/>
      </w:rPr>
      <w:tab/>
    </w:r>
    <w:r w:rsidR="00303213">
      <w:rPr>
        <w:lang w:val="en-US"/>
      </w:rPr>
      <w:t>SAF Security and Security</w:t>
    </w:r>
    <w:r w:rsidR="00BB5D1B">
      <w:rPr>
        <w:lang w:val="en-US"/>
      </w:rPr>
      <w:t xml:space="preserve">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AAC"/>
    <w:multiLevelType w:val="multilevel"/>
    <w:tmpl w:val="F96C34BE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</w:rPr>
    </w:lvl>
  </w:abstractNum>
  <w:abstractNum w:abstractNumId="1" w15:restartNumberingAfterBreak="0">
    <w:nsid w:val="0B8051F5"/>
    <w:multiLevelType w:val="multilevel"/>
    <w:tmpl w:val="CAC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94EF0"/>
    <w:multiLevelType w:val="multilevel"/>
    <w:tmpl w:val="24F6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7979CE"/>
    <w:multiLevelType w:val="multilevel"/>
    <w:tmpl w:val="360E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9B23E4"/>
    <w:multiLevelType w:val="hybridMultilevel"/>
    <w:tmpl w:val="526A4256"/>
    <w:lvl w:ilvl="0" w:tplc="100C0011">
      <w:start w:val="1"/>
      <w:numFmt w:val="decimal"/>
      <w:lvlText w:val="%1)"/>
      <w:lvlJc w:val="left"/>
      <w:pPr>
        <w:ind w:left="1077" w:hanging="360"/>
      </w:pPr>
    </w:lvl>
    <w:lvl w:ilvl="1" w:tplc="100C0019" w:tentative="1">
      <w:start w:val="1"/>
      <w:numFmt w:val="lowerLetter"/>
      <w:lvlText w:val="%2."/>
      <w:lvlJc w:val="left"/>
      <w:pPr>
        <w:ind w:left="1797" w:hanging="360"/>
      </w:pPr>
    </w:lvl>
    <w:lvl w:ilvl="2" w:tplc="100C001B" w:tentative="1">
      <w:start w:val="1"/>
      <w:numFmt w:val="lowerRoman"/>
      <w:lvlText w:val="%3."/>
      <w:lvlJc w:val="right"/>
      <w:pPr>
        <w:ind w:left="2517" w:hanging="180"/>
      </w:pPr>
    </w:lvl>
    <w:lvl w:ilvl="3" w:tplc="100C000F" w:tentative="1">
      <w:start w:val="1"/>
      <w:numFmt w:val="decimal"/>
      <w:lvlText w:val="%4."/>
      <w:lvlJc w:val="left"/>
      <w:pPr>
        <w:ind w:left="3237" w:hanging="360"/>
      </w:pPr>
    </w:lvl>
    <w:lvl w:ilvl="4" w:tplc="100C0019" w:tentative="1">
      <w:start w:val="1"/>
      <w:numFmt w:val="lowerLetter"/>
      <w:lvlText w:val="%5."/>
      <w:lvlJc w:val="left"/>
      <w:pPr>
        <w:ind w:left="3957" w:hanging="360"/>
      </w:pPr>
    </w:lvl>
    <w:lvl w:ilvl="5" w:tplc="100C001B" w:tentative="1">
      <w:start w:val="1"/>
      <w:numFmt w:val="lowerRoman"/>
      <w:lvlText w:val="%6."/>
      <w:lvlJc w:val="right"/>
      <w:pPr>
        <w:ind w:left="4677" w:hanging="180"/>
      </w:pPr>
    </w:lvl>
    <w:lvl w:ilvl="6" w:tplc="100C000F" w:tentative="1">
      <w:start w:val="1"/>
      <w:numFmt w:val="decimal"/>
      <w:lvlText w:val="%7."/>
      <w:lvlJc w:val="left"/>
      <w:pPr>
        <w:ind w:left="5397" w:hanging="360"/>
      </w:pPr>
    </w:lvl>
    <w:lvl w:ilvl="7" w:tplc="100C0019" w:tentative="1">
      <w:start w:val="1"/>
      <w:numFmt w:val="lowerLetter"/>
      <w:lvlText w:val="%8."/>
      <w:lvlJc w:val="left"/>
      <w:pPr>
        <w:ind w:left="6117" w:hanging="360"/>
      </w:pPr>
    </w:lvl>
    <w:lvl w:ilvl="8" w:tplc="10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49C66AD"/>
    <w:multiLevelType w:val="hybridMultilevel"/>
    <w:tmpl w:val="BAC6C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2076"/>
    <w:multiLevelType w:val="multilevel"/>
    <w:tmpl w:val="F4D8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8C66DA"/>
    <w:multiLevelType w:val="multilevel"/>
    <w:tmpl w:val="E96E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140001"/>
    <w:multiLevelType w:val="hybridMultilevel"/>
    <w:tmpl w:val="098EEA32"/>
    <w:lvl w:ilvl="0" w:tplc="2F06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61282"/>
    <w:multiLevelType w:val="multilevel"/>
    <w:tmpl w:val="5B9CC920"/>
    <w:lvl w:ilvl="0">
      <w:start w:val="2"/>
      <w:numFmt w:val="decimalZero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1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1440"/>
      </w:pPr>
      <w:rPr>
        <w:rFonts w:hint="default"/>
      </w:rPr>
    </w:lvl>
  </w:abstractNum>
  <w:abstractNum w:abstractNumId="10" w15:restartNumberingAfterBreak="0">
    <w:nsid w:val="6B991D2F"/>
    <w:multiLevelType w:val="multilevel"/>
    <w:tmpl w:val="B990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637022"/>
    <w:multiLevelType w:val="multilevel"/>
    <w:tmpl w:val="4846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DF4014"/>
    <w:multiLevelType w:val="hybridMultilevel"/>
    <w:tmpl w:val="E18A262C"/>
    <w:lvl w:ilvl="0" w:tplc="10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7161589">
    <w:abstractNumId w:val="3"/>
  </w:num>
  <w:num w:numId="2" w16cid:durableId="2061244375">
    <w:abstractNumId w:val="10"/>
  </w:num>
  <w:num w:numId="3" w16cid:durableId="1437292807">
    <w:abstractNumId w:val="6"/>
  </w:num>
  <w:num w:numId="4" w16cid:durableId="116918455">
    <w:abstractNumId w:val="7"/>
  </w:num>
  <w:num w:numId="5" w16cid:durableId="517425411">
    <w:abstractNumId w:val="11"/>
  </w:num>
  <w:num w:numId="6" w16cid:durableId="880480266">
    <w:abstractNumId w:val="2"/>
  </w:num>
  <w:num w:numId="7" w16cid:durableId="1120994578">
    <w:abstractNumId w:val="1"/>
  </w:num>
  <w:num w:numId="8" w16cid:durableId="1689286210">
    <w:abstractNumId w:val="4"/>
  </w:num>
  <w:num w:numId="9" w16cid:durableId="870266903">
    <w:abstractNumId w:val="12"/>
  </w:num>
  <w:num w:numId="10" w16cid:durableId="494760236">
    <w:abstractNumId w:val="5"/>
  </w:num>
  <w:num w:numId="11" w16cid:durableId="1632128835">
    <w:abstractNumId w:val="0"/>
  </w:num>
  <w:num w:numId="12" w16cid:durableId="1749955741">
    <w:abstractNumId w:val="8"/>
  </w:num>
  <w:num w:numId="13" w16cid:durableId="906380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A9"/>
    <w:rsid w:val="00015E07"/>
    <w:rsid w:val="00031490"/>
    <w:rsid w:val="00094018"/>
    <w:rsid w:val="00160A5D"/>
    <w:rsid w:val="00171E95"/>
    <w:rsid w:val="0018108D"/>
    <w:rsid w:val="00184777"/>
    <w:rsid w:val="00185E07"/>
    <w:rsid w:val="00204176"/>
    <w:rsid w:val="00230699"/>
    <w:rsid w:val="00247E2E"/>
    <w:rsid w:val="002A21E5"/>
    <w:rsid w:val="002B7C8C"/>
    <w:rsid w:val="00303213"/>
    <w:rsid w:val="00324950"/>
    <w:rsid w:val="00354EFD"/>
    <w:rsid w:val="003B15E9"/>
    <w:rsid w:val="00411C93"/>
    <w:rsid w:val="004210A4"/>
    <w:rsid w:val="00430B96"/>
    <w:rsid w:val="00462E07"/>
    <w:rsid w:val="004D283B"/>
    <w:rsid w:val="00524F24"/>
    <w:rsid w:val="00531B6E"/>
    <w:rsid w:val="00540DA3"/>
    <w:rsid w:val="005D60A9"/>
    <w:rsid w:val="005F2EE7"/>
    <w:rsid w:val="00627206"/>
    <w:rsid w:val="00724289"/>
    <w:rsid w:val="007B1B7D"/>
    <w:rsid w:val="007D0346"/>
    <w:rsid w:val="00804C60"/>
    <w:rsid w:val="008069C8"/>
    <w:rsid w:val="00831F8A"/>
    <w:rsid w:val="00875486"/>
    <w:rsid w:val="008A0E33"/>
    <w:rsid w:val="008E4BC2"/>
    <w:rsid w:val="008F7A16"/>
    <w:rsid w:val="009407CF"/>
    <w:rsid w:val="00A00564"/>
    <w:rsid w:val="00A31FC3"/>
    <w:rsid w:val="00A61FC2"/>
    <w:rsid w:val="00A74D98"/>
    <w:rsid w:val="00AA147B"/>
    <w:rsid w:val="00AF444F"/>
    <w:rsid w:val="00B06AF4"/>
    <w:rsid w:val="00B766D9"/>
    <w:rsid w:val="00B8773D"/>
    <w:rsid w:val="00BA1B38"/>
    <w:rsid w:val="00BB5D1B"/>
    <w:rsid w:val="00BD1037"/>
    <w:rsid w:val="00C17D88"/>
    <w:rsid w:val="00C565F7"/>
    <w:rsid w:val="00CD61B1"/>
    <w:rsid w:val="00D32D8D"/>
    <w:rsid w:val="00D36720"/>
    <w:rsid w:val="00D40DC0"/>
    <w:rsid w:val="00DC6F96"/>
    <w:rsid w:val="00E320E3"/>
    <w:rsid w:val="00E429D1"/>
    <w:rsid w:val="00E606B8"/>
    <w:rsid w:val="00E72A37"/>
    <w:rsid w:val="00ED04EF"/>
    <w:rsid w:val="00EE0EDC"/>
    <w:rsid w:val="00F01CD6"/>
    <w:rsid w:val="00F216F0"/>
    <w:rsid w:val="00F30729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C85F"/>
  <w15:chartTrackingRefBased/>
  <w15:docId w15:val="{43F738DF-2019-4806-95F4-CE7D773C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Hyperlink">
    <w:name w:val="Hyperlink"/>
    <w:basedOn w:val="DefaultParagraphFont"/>
    <w:uiPriority w:val="99"/>
    <w:unhideWhenUsed/>
    <w:rsid w:val="003B15E9"/>
    <w:rPr>
      <w:color w:val="0000FF"/>
      <w:u w:val="single"/>
    </w:rPr>
  </w:style>
  <w:style w:type="table" w:styleId="TableGrid">
    <w:name w:val="Table Grid"/>
    <w:basedOn w:val="TableNormal"/>
    <w:uiPriority w:val="39"/>
    <w:rsid w:val="003B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2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06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20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13"/>
  </w:style>
  <w:style w:type="paragraph" w:styleId="Footer">
    <w:name w:val="footer"/>
    <w:basedOn w:val="Normal"/>
    <w:link w:val="FooterChar"/>
    <w:uiPriority w:val="99"/>
    <w:unhideWhenUsed/>
    <w:rsid w:val="0030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fety,%20Security%20&amp;%20Risk%20Management%20Capacity%20Assessment%20Tool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4533-208A-4397-A997-475CCE9B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PAUGNAT</dc:creator>
  <cp:keywords/>
  <dc:description/>
  <cp:lastModifiedBy>Raoul Bittel</cp:lastModifiedBy>
  <cp:revision>10</cp:revision>
  <dcterms:created xsi:type="dcterms:W3CDTF">2023-05-04T08:52:00Z</dcterms:created>
  <dcterms:modified xsi:type="dcterms:W3CDTF">2023-06-27T12:00:00Z</dcterms:modified>
</cp:coreProperties>
</file>